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Data Protection, Confidentiality and Record Retention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Data Protection Lead / 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lawful, fair, secure handling of personal data and clear confidentiality arrangements.</w:t>
      </w:r>
    </w:p>
    <w:p>
      <w:pPr>
        <w:pStyle w:val="Heading1"/>
      </w:pPr>
      <w:r>
        <w:t>Scope</w:t>
      </w:r>
    </w:p>
    <w:p>
      <w:r>
        <w:t>All paper and digital records created, stored, shared, or deleted by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Personal data must be processed lawfully, fairly, and securely.</w:t>
      </w:r>
    </w:p>
    <w:p>
      <w:pPr>
        <w:pStyle w:val="ListBullet"/>
        <w:spacing w:after="40"/>
      </w:pPr>
      <w:r>
        <w:t>Access is limited to a need-to-know basis.</w:t>
      </w:r>
    </w:p>
    <w:p>
      <w:pPr>
        <w:pStyle w:val="ListBullet"/>
        <w:spacing w:after="40"/>
      </w:pPr>
      <w:r>
        <w:t>Safeguarding information may be shared where necessary to protect a child.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Provide privacy information to parents and carers.</w:t>
      </w:r>
    </w:p>
    <w:p>
      <w:pPr>
        <w:pStyle w:val="ListBullet"/>
        <w:spacing w:after="40"/>
      </w:pPr>
      <w:r>
        <w:t>Store paper and digital records securely and use secure systems for registers, contacts, payments, safeguarding, and incident records.</w:t>
      </w:r>
    </w:p>
    <w:p>
      <w:pPr>
        <w:pStyle w:val="ListBullet"/>
        <w:spacing w:after="40"/>
      </w:pPr>
      <w:r>
        <w:t>Retain records in line with a retention schedule and dispose of them securely when no longer needed.</w:t>
      </w:r>
    </w:p>
    <w:p>
      <w:pPr>
        <w:pStyle w:val="ListBullet"/>
        <w:spacing w:after="40"/>
      </w:pPr>
      <w:r>
        <w:t>Maintain logs for breaches, subject requests, and key data-sharing decisions where applicable.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This policy covers registration data, emergency contacts, medical information, attendance records, payment information, safeguarding records, accident and incident reports, images and consent records, complaints, and HR records.</w:t>
      </w:r>
    </w:p>
    <w:p>
      <w:pPr>
        <w:pStyle w:val="ListBullet"/>
        <w:spacing w:after="40"/>
      </w:pPr>
      <w:r>
        <w:t>Staff must not discuss confidential information inappropriately or use personal accounts, devices, or insecure systems for Koala Klubs records.</w:t>
      </w:r>
    </w:p>
    <w:p>
      <w:pPr>
        <w:pStyle w:val="ListBullet"/>
        <w:spacing w:after="40"/>
      </w:pPr>
      <w:r>
        <w:t>Any suspected data breach must be reported immediately to the data protection lead.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Data Protection, Confidentiality and Record Retention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